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-1104265</wp:posOffset>
            </wp:positionH>
            <wp:positionV relativeFrom="paragraph">
              <wp:posOffset>-795655</wp:posOffset>
            </wp:positionV>
            <wp:extent cx="7607300" cy="10672445"/>
            <wp:effectExtent l="0" t="0" r="12700" b="10795"/>
            <wp:wrapNone/>
            <wp:docPr id="2" name="图片 2" descr="5、政府办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、政府办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薛政办发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关于印发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小沙河断面水质达标整治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工作方案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各镇政府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街道办事处，区政府有关部门，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有关企事业单位：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现将《小沙河断面水质达标整治工作方案》印发给你们，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薛城区人民政府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小沙河断面水质达标整治工作方案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为深入贯彻习近平生态文明思想，持续改善流域水环境质量，保障南水北调东线调水水质安全，切实解决小沙河彭口闸断面水质超标问题，按照小沙河治理推进会议要求，结合实际，制定本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以确保小沙河彭口闸断面水质达标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为核心，采取“截污分流、内源治理、水质净化、生态补水”的原则，坚持问题导向，对涉及小沙河范围内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val="en-US" w:eastAsia="zh-CN"/>
        </w:rPr>
        <w:t>排水管道、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河道垃圾、污水直排口、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管网破损溢流口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及建成区内各个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居民小区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雨污混流情况等问题开展全面排查，建立台账，实施清单制，全面完成小沙河的有效整治，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实现薛城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小沙河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出境断面水质达到地表水Ⅲ类标准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  <w:t>二、水质状况</w:t>
      </w:r>
    </w:p>
    <w:p>
      <w:pPr>
        <w:pStyle w:val="10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eastAsia="zh-CN" w:bidi="ar-SA"/>
        </w:rPr>
        <w:t>据省生态环境厅公布的2022年度监测数据，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1、2、3、5、6、7、9、11月共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个月，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eastAsia="zh-CN" w:bidi="ar-SA"/>
        </w:rPr>
        <w:t>薛城小沙河彭口闸控制断面水质超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地表水Ⅲ类标准，需向济宁市微山县缴纳生态补偿资金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00万元。从超标因子看，化学需氧量超标4个月，高锰酸盐指数、总磷超标3个月，氨氮超标1个月，属于典型的生活污水污染。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  <w:t>三、超标原因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生活污水直排入河。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城市污水管网不配套，尤其是薛城小沙河东支，检查发现，在锦阳河泰山路桥西侧、祁连山路与海河路交叉口桥北、龙潭实验学校南、锦阳河舜耕中学南等污水直排口，污水长期直排入河。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19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（二）河道生态修复功能差。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薛城小沙河流经枣庄高新区、薛城区，河道全长约16.6公里，属于季节性河流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,河道短、狭窄，水源不足，河道生态功能脆弱，特别是在泰山路以西的河段，没有建设人工湿地水质净化及生态修复工程。在薛城污水处理厂出水口及下游虽建设了人工湿地工程，净化能力有限。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195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（三）治污设施运维不善。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由于缺少专人管理，日常巡检不到位，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建设的污水泵站、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智能截流井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，一旦发生故障，不能及时发现修复，造成污水溢流。由于运维管理不善，原薛城污水处理厂建设的潜流人工湿地工程已不能运行，不能正常发挥作用。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195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（四）污水处理厂出水口距离断面短。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枣庄北控污水处理公司出水口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距小沙河彭口闸断面仅1.7公里，水面较窄，河水停留时间短，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水体自净能力弱，即使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出水达到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准Ⅳ类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标准，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下游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彭口闸断面也很难达到地表水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达标措施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明确职责、压实责任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。雨污分流改造工作涉及到水务、住建、城市执法等多个部门，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存在职能交叉、责任不清的问题，理顺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职责和职能，将任务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相关部门，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压实责任，防止相互推诿。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区政府事务推进中心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、区城乡水务局、薛城生态环境分局、区综合行政执法局、区住建局、临城街道、常庄街道、新城街道）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城区雨污管网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。严格按照“两清零一提标”和《薛城区污水管网排查和城市雨污合流管网改造工作方案》（薛政办发〔2022〕1号）要求，完成“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2023年实施雨污合流管网改造长度7.4公里，以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住建局老旧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居民小区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改造为重点，主要实施薛城区长江路以南、祁连山路以西、永福路以东、郯薛路以北区域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新城民生路、长白山路、复原三路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的主管网建设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”任务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。开展长江路以南及新城部分区域污水管网排查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责任单位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：区城乡水务局、晟润集团。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配合单位：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区住建局、区综合行政执法局、临城街道、常庄街道、新城街道）完成万州浙商城雨污混流管网改造。（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责任单位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：区城乡水务局、薛城经济开发区管委会办公室、晟润集团）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eastAsia="zh-CN" w:bidi="ar-SA"/>
        </w:rPr>
        <w:t>实施污水直排口、溢流口的有效整治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对前期排查发现的各类污水口，开展溯源，制定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措施实施整治，做到整治1处，销号1处，杜绝反弹现象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责任单位：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区城乡水务局、晟润集团）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eastAsia="zh-CN" w:bidi="ar-SA"/>
        </w:rPr>
        <w:t>建立巡查机制，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加强污水泵房管理维护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。明确专人负责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水管网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、智能截流井和卧倒闸的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巡查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维护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加强对管网、泵站管理，对管网及其附属设施及时清淤疏通、维修，避免因管网堵塞、破损等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导致管网污水溢流现象发生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。（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责任单位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区城乡水务局、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晟润集团）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（五）落实河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eastAsia="zh-CN" w:bidi="ar-SA"/>
        </w:rPr>
        <w:t>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临城街道、常庄街道、新城街道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对管辖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的薛城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小沙河东、西支开展“周巡查”，及时清理河道及沿线的垃圾、漂浮物。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责任单位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：临城街道、常庄街道、新城街道）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（六）加快建设污水处理厂扩建工程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加快建设薛城第二污水处理厂3万吨/日扩建工程，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月份建成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投入运行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增加污水处理量，减轻管网的负荷，减少污水溢流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责任单位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：区城乡水务局、枣庄北控污水处理有限公司）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eastAsia="zh-CN" w:bidi="ar-SA"/>
        </w:rPr>
        <w:t>七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eastAsia="zh-CN" w:bidi="ar-SA"/>
        </w:rPr>
        <w:t>强化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河道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eastAsia="zh-CN" w:bidi="ar-SA"/>
        </w:rPr>
        <w:t>生态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补水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在枯水期，科学合理实施常态化生态补水，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生态补水增加河道的水动力和水循环，增强了水体的中和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自净能力，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进一步改善河流水质起到重要作用。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利用现有的闸坝，对河道水量实施有效调节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 w:bidi="ar-SA"/>
        </w:rPr>
        <w:t>，保证河道生态水量。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责任单位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：区城乡水务局、晟润集团）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eastAsia="zh-CN" w:bidi="ar-SA"/>
        </w:rPr>
        <w:t>八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）加强水质监测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eastAsia="zh-CN" w:bidi="ar-SA"/>
        </w:rPr>
        <w:t>和执法监管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加大河流断面水质监测频次，对水质异常区域溯源分析，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一旦发现超标，及时通报并采取相应措施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。强化污水处理厂运营监管，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确保治污设施满负荷运行，出水符合国家和地方管理标准的相关要求。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责任单位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薛城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生态环境分局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、区城乡水务局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eastAsia="zh-CN" w:bidi="ar-SA"/>
        </w:rPr>
        <w:t>九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）积极争取资金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按照《薛城区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辖南四湖流域水污染综合整治三年行动方案（2021—2023年）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》要求，加大财政资金支持。积极申报中央、省级项目资金，加快推进EOD项目尽力解决资金瓶颈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，促进工程落实。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责任单位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：区财政局、区城乡水务局、区住建局、薛城生态环境分局、晟润集团）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五、保障机制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（一）强化责任主体，加强组织领导。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各有关镇街、区直部门和国企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是实施本方案的主体，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区政府事务推进中心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统筹推进各部门水体达标相关工作。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积极整合各类资源，建立完善日常联络、信息共享等联动机制。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（二）建立预警联动机制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建立河湖水质保障预警联动机制，实现生态环境、气象及水利等有关信息共享，提前做好环境安全防控预案。一旦发现水质异常，要迅速查明原因，第一时间报告，及时通报下游地区，并采取必要的处置措施，确保水质达标。对可能或已经发生污染事故的，要立即启动应急预案，科学处置，将事故影响降到最低程度，确保水环境安全。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（三）加大资金投入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强化资金筹措机制，加大资金投入，确保按期完成工程建设。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附件：薛城小沙河断面水质改善治理任务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6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cs="Times New Roman"/>
          <w:lang w:eastAsia="zh-CN"/>
        </w:rPr>
        <w:sectPr>
          <w:footerReference r:id="rId3" w:type="default"/>
          <w:pgSz w:w="11906" w:h="16838"/>
          <w:pgMar w:top="1701" w:right="1701" w:bottom="1701" w:left="1701" w:header="1134" w:footer="1134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薛城小沙河断面水质改善治理任务</w:t>
      </w:r>
    </w:p>
    <w:tbl>
      <w:tblPr>
        <w:tblStyle w:val="11"/>
        <w:tblW w:w="5441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2052"/>
        <w:gridCol w:w="7304"/>
        <w:gridCol w:w="2307"/>
        <w:gridCol w:w="21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lang w:eastAsia="zh-CN"/>
              </w:rPr>
              <w:t>治理任务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措施名称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措施内容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责任单位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完成时限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加强断面水质应急监测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加大河流断面水质监测频次，对水质异常区域溯源分析，一旦发现超标，及时通报并采取措施。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薛城生态环境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分局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长期坚持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加大对河道水量调控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沙河实施生态补水，合理调控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海化橡胶坝等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闸坝，确保断面水质达标。</w:t>
            </w:r>
          </w:p>
        </w:tc>
        <w:tc>
          <w:tcPr>
            <w:tcW w:w="7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区城乡水务局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长期坚持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污水处理厂达标排放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强化对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城污水处理厂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、枣庄北控污水处理公司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的监管，保证出水稳定达到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地方环境管理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标准。</w:t>
            </w:r>
          </w:p>
        </w:tc>
        <w:tc>
          <w:tcPr>
            <w:tcW w:w="7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长期坚持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破损、溢流污水管网封堵、修复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锦阳河泰山南路桥污水直排口、祁连山路桥北污水直排口、龙潭实验学校南污水直排口、锦阳河舜耕中学南污水直排口将生活污水纳入污水管网，排入污水处理厂处理。封堵常兴桥溢流口。</w:t>
            </w:r>
          </w:p>
        </w:tc>
        <w:tc>
          <w:tcPr>
            <w:tcW w:w="7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长期坚持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污水泵房管理维护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加强锦泰花园对过泵站、泰山路原民政局污水泵站、天山路便民市场截流井、黄河路截流井、北批市场市场南门截流井巡查，确保生活污水不溢流。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晟润集团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长期坚持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河道垃圾清理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河道及两岸垃圾、漂浮物清理打捞。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临城街道、常庄街道、新城街道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长期坚持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lang w:eastAsia="zh-CN"/>
              </w:rPr>
              <w:t>治理措施任务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建设内容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责任单位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完成时限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污水处理厂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扩建工程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完成薛城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第二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污水处理厂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万吨/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扩建工程。</w:t>
            </w:r>
          </w:p>
        </w:tc>
        <w:tc>
          <w:tcPr>
            <w:tcW w:w="7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区城乡水务局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污水管网建设工程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2023年实施雨污合流管网改造长度7.4公里。主要实施薛城区长江路以南、祁连山路以西、永福路以东、郯薛路以北区域，以及新城民生路、长白山路、复原三路的主管网建设；污水管网排查区域为长江路以南及新城部分区域；居民小区雨污合流管网改造任务，以区住建局老旧居民小区改造计划为依据。</w:t>
            </w:r>
          </w:p>
        </w:tc>
        <w:tc>
          <w:tcPr>
            <w:tcW w:w="78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城区雨污管网配套建设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做好常庄街道中心小学、黄河路七孔桥溢流口疏通、封堵及截留井维护，减少污水溢流入河。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区城乡水务局、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晟润集团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年12月底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万州浙商城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雨污混流管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完成万州浙商城雨污混流管网改造。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区城乡水务局、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薛城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经济开发区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管委会办公室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资金争取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积极申报中央、省级项目资金，加快推进EOD项目。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薛城生态环境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分局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月底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kern w:val="0"/>
          <w:sz w:val="44"/>
          <w:szCs w:val="44"/>
        </w:rPr>
      </w:pPr>
    </w:p>
    <w:sectPr>
      <w:pgSz w:w="16838" w:h="11906" w:orient="landscape"/>
      <w:pgMar w:top="1587" w:right="1701" w:bottom="1701" w:left="1701" w:header="1134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HNY36H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5"/>
      <w:numFmt w:val="decimal"/>
      <w:suff w:val="nothing"/>
      <w:lvlText w:val="%1、"/>
      <w:lvlJc w:val="left"/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3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ZWZjMTEyY2ZmMDRmYTY5MDljMTQ4ZWE5MTE4MWEifQ=="/>
  </w:docVars>
  <w:rsids>
    <w:rsidRoot w:val="00000000"/>
    <w:rsid w:val="00351550"/>
    <w:rsid w:val="03D34AE4"/>
    <w:rsid w:val="07272DC7"/>
    <w:rsid w:val="09DF4B56"/>
    <w:rsid w:val="0B224DC6"/>
    <w:rsid w:val="0D180451"/>
    <w:rsid w:val="10131A0F"/>
    <w:rsid w:val="1332307B"/>
    <w:rsid w:val="15016E51"/>
    <w:rsid w:val="179EFE29"/>
    <w:rsid w:val="1CCAF510"/>
    <w:rsid w:val="209B580B"/>
    <w:rsid w:val="24F540F8"/>
    <w:rsid w:val="2736026C"/>
    <w:rsid w:val="283D44F8"/>
    <w:rsid w:val="299E145A"/>
    <w:rsid w:val="29B02487"/>
    <w:rsid w:val="2BC83FD2"/>
    <w:rsid w:val="2DC37C48"/>
    <w:rsid w:val="2DC41641"/>
    <w:rsid w:val="2DD74F12"/>
    <w:rsid w:val="2FF7C270"/>
    <w:rsid w:val="303F280A"/>
    <w:rsid w:val="332177C3"/>
    <w:rsid w:val="348F2F18"/>
    <w:rsid w:val="34DA5C46"/>
    <w:rsid w:val="3666A93A"/>
    <w:rsid w:val="36D76B61"/>
    <w:rsid w:val="3E7740FC"/>
    <w:rsid w:val="3EBF47D1"/>
    <w:rsid w:val="3EFE622C"/>
    <w:rsid w:val="3F7FEBFD"/>
    <w:rsid w:val="3FD70346"/>
    <w:rsid w:val="3FF42540"/>
    <w:rsid w:val="3FF5F21F"/>
    <w:rsid w:val="3FF78B98"/>
    <w:rsid w:val="3FFFB3D3"/>
    <w:rsid w:val="446FA138"/>
    <w:rsid w:val="44D15DE3"/>
    <w:rsid w:val="48965FE1"/>
    <w:rsid w:val="49744020"/>
    <w:rsid w:val="498C37CA"/>
    <w:rsid w:val="4D2B4FD4"/>
    <w:rsid w:val="51B77617"/>
    <w:rsid w:val="553FFB52"/>
    <w:rsid w:val="55EF913F"/>
    <w:rsid w:val="59142C25"/>
    <w:rsid w:val="5BFD4CA9"/>
    <w:rsid w:val="5D9C15E9"/>
    <w:rsid w:val="5DD7AF7E"/>
    <w:rsid w:val="5EA5182B"/>
    <w:rsid w:val="5ECC9F93"/>
    <w:rsid w:val="5FABA925"/>
    <w:rsid w:val="5FBB439B"/>
    <w:rsid w:val="5FF3C475"/>
    <w:rsid w:val="60CB468E"/>
    <w:rsid w:val="61245162"/>
    <w:rsid w:val="62472BE6"/>
    <w:rsid w:val="66081C53"/>
    <w:rsid w:val="66481AE8"/>
    <w:rsid w:val="667E2F1D"/>
    <w:rsid w:val="667F3CB2"/>
    <w:rsid w:val="67DB2448"/>
    <w:rsid w:val="67FA4FF0"/>
    <w:rsid w:val="6A030AEB"/>
    <w:rsid w:val="6AD434B1"/>
    <w:rsid w:val="6C0E5BFA"/>
    <w:rsid w:val="6CD7A82A"/>
    <w:rsid w:val="6D35F207"/>
    <w:rsid w:val="6DB3BBC0"/>
    <w:rsid w:val="6EBFECC5"/>
    <w:rsid w:val="6EDE2A1F"/>
    <w:rsid w:val="6F9311AB"/>
    <w:rsid w:val="6FBAB7D4"/>
    <w:rsid w:val="6FD27B92"/>
    <w:rsid w:val="6FD7DAC8"/>
    <w:rsid w:val="71006E1B"/>
    <w:rsid w:val="73025D8D"/>
    <w:rsid w:val="73FFD04D"/>
    <w:rsid w:val="75ABD42C"/>
    <w:rsid w:val="776D39E3"/>
    <w:rsid w:val="77744016"/>
    <w:rsid w:val="779F65B6"/>
    <w:rsid w:val="77E33575"/>
    <w:rsid w:val="77F55430"/>
    <w:rsid w:val="77F907E2"/>
    <w:rsid w:val="783B7351"/>
    <w:rsid w:val="79126863"/>
    <w:rsid w:val="79594880"/>
    <w:rsid w:val="79854AB3"/>
    <w:rsid w:val="7B77F237"/>
    <w:rsid w:val="7BE45E17"/>
    <w:rsid w:val="7BF7A9FE"/>
    <w:rsid w:val="7C6B1461"/>
    <w:rsid w:val="7DDF937F"/>
    <w:rsid w:val="7DE584A9"/>
    <w:rsid w:val="7DF73B07"/>
    <w:rsid w:val="7DFECB4B"/>
    <w:rsid w:val="7DFF2B8B"/>
    <w:rsid w:val="7DFF7ACD"/>
    <w:rsid w:val="7E18488C"/>
    <w:rsid w:val="7EE609AE"/>
    <w:rsid w:val="7EFF1443"/>
    <w:rsid w:val="7EFFE61B"/>
    <w:rsid w:val="7F1F2F1B"/>
    <w:rsid w:val="7F339FF9"/>
    <w:rsid w:val="7F3C3704"/>
    <w:rsid w:val="7F3FA157"/>
    <w:rsid w:val="7F7EB7B2"/>
    <w:rsid w:val="7FCC3607"/>
    <w:rsid w:val="7FDB6352"/>
    <w:rsid w:val="7FDEA8B6"/>
    <w:rsid w:val="7FDF984B"/>
    <w:rsid w:val="7FEB3F51"/>
    <w:rsid w:val="7FEF175A"/>
    <w:rsid w:val="7FFB79EA"/>
    <w:rsid w:val="8FFF0E40"/>
    <w:rsid w:val="9A1F1D84"/>
    <w:rsid w:val="9DFD8EA9"/>
    <w:rsid w:val="A339518F"/>
    <w:rsid w:val="AD5E753A"/>
    <w:rsid w:val="B5BE9D1E"/>
    <w:rsid w:val="B7B58E12"/>
    <w:rsid w:val="BBFC8B78"/>
    <w:rsid w:val="BD937089"/>
    <w:rsid w:val="BDBF4804"/>
    <w:rsid w:val="BEA763BB"/>
    <w:rsid w:val="BEA78F9B"/>
    <w:rsid w:val="BEBF731B"/>
    <w:rsid w:val="BF6D5602"/>
    <w:rsid w:val="BFBBE5DD"/>
    <w:rsid w:val="BFD70B06"/>
    <w:rsid w:val="BFFB02AB"/>
    <w:rsid w:val="BFFDEBF8"/>
    <w:rsid w:val="CBA674C1"/>
    <w:rsid w:val="D8BCE856"/>
    <w:rsid w:val="DD77D3F1"/>
    <w:rsid w:val="DEBF253C"/>
    <w:rsid w:val="DEDB6AC3"/>
    <w:rsid w:val="DEF71976"/>
    <w:rsid w:val="DF3A7CE2"/>
    <w:rsid w:val="DFDF0143"/>
    <w:rsid w:val="DFFDC7C0"/>
    <w:rsid w:val="E57F6901"/>
    <w:rsid w:val="E7AB98CF"/>
    <w:rsid w:val="E7EFBAA7"/>
    <w:rsid w:val="E8A7C759"/>
    <w:rsid w:val="EA1F4878"/>
    <w:rsid w:val="EE7D84BC"/>
    <w:rsid w:val="EF1DFA8E"/>
    <w:rsid w:val="EF7BE0DF"/>
    <w:rsid w:val="EFF7395A"/>
    <w:rsid w:val="EFFE090D"/>
    <w:rsid w:val="F2971E4A"/>
    <w:rsid w:val="F3DB759C"/>
    <w:rsid w:val="F4FC2441"/>
    <w:rsid w:val="F5BFD5F5"/>
    <w:rsid w:val="F5FE9F94"/>
    <w:rsid w:val="F67BDC6C"/>
    <w:rsid w:val="F73AB7C7"/>
    <w:rsid w:val="F7EB2598"/>
    <w:rsid w:val="F7FA6A2C"/>
    <w:rsid w:val="F7FF920F"/>
    <w:rsid w:val="F973FB4D"/>
    <w:rsid w:val="F9FBF5AB"/>
    <w:rsid w:val="FAFEBE83"/>
    <w:rsid w:val="FB73BAF5"/>
    <w:rsid w:val="FBF7B0B8"/>
    <w:rsid w:val="FBFD5E6A"/>
    <w:rsid w:val="FCBFAD72"/>
    <w:rsid w:val="FCEDF49D"/>
    <w:rsid w:val="FD3ABB35"/>
    <w:rsid w:val="FD5F5A5F"/>
    <w:rsid w:val="FD7D2E93"/>
    <w:rsid w:val="FDCAE601"/>
    <w:rsid w:val="FEF79B26"/>
    <w:rsid w:val="FEFDBEFF"/>
    <w:rsid w:val="FF2D5548"/>
    <w:rsid w:val="FF51B0BD"/>
    <w:rsid w:val="FF7D8649"/>
    <w:rsid w:val="FFA732E5"/>
    <w:rsid w:val="FFB77158"/>
    <w:rsid w:val="FFBFCDEC"/>
    <w:rsid w:val="FFDD3CCE"/>
    <w:rsid w:val="FFDF69AF"/>
    <w:rsid w:val="FFFF3624"/>
    <w:rsid w:val="FFFF9A6F"/>
    <w:rsid w:val="FFFFBA5A"/>
    <w:rsid w:val="FFFFB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widowControl w:val="0"/>
      <w:numPr>
        <w:ilvl w:val="4"/>
        <w:numId w:val="1"/>
      </w:numPr>
      <w:adjustRightInd/>
      <w:snapToGrid/>
      <w:spacing w:after="0"/>
      <w:jc w:val="both"/>
      <w:outlineLvl w:val="4"/>
    </w:pPr>
    <w:rPr>
      <w:rFonts w:ascii="Calibri" w:hAnsi="Calibri" w:eastAsia="宋体"/>
      <w:b/>
      <w:bCs/>
      <w:kern w:val="2"/>
      <w:sz w:val="21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楷体_GB2312"/>
      <w:kern w:val="2"/>
      <w:sz w:val="32"/>
      <w:szCs w:val="24"/>
    </w:rPr>
  </w:style>
  <w:style w:type="paragraph" w:styleId="6">
    <w:name w:val="Body Text First Indent 2"/>
    <w:basedOn w:val="7"/>
    <w:next w:val="1"/>
    <w:qFormat/>
    <w:uiPriority w:val="99"/>
    <w:pPr>
      <w:widowControl w:val="0"/>
      <w:spacing w:line="240" w:lineRule="auto"/>
      <w:ind w:firstLine="420" w:firstLineChars="200"/>
    </w:pPr>
    <w:rPr>
      <w:rFonts w:ascii="Calibri" w:hAnsi="Calibri" w:eastAsia="宋体" w:cs="Times New Roman"/>
      <w:szCs w:val="24"/>
    </w:rPr>
  </w:style>
  <w:style w:type="paragraph" w:styleId="7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3183</Words>
  <Characters>3245</Characters>
  <Lines>0</Lines>
  <Paragraphs>0</Paragraphs>
  <TotalTime>76</TotalTime>
  <ScaleCrop>false</ScaleCrop>
  <LinksUpToDate>false</LinksUpToDate>
  <CharactersWithSpaces>3246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2022-12-20T18:37:00Z</dcterms:created>
  <dc:creator>user</dc:creator>
  <cp:lastModifiedBy>WPS_1619317112</cp:lastModifiedBy>
  <cp:lastPrinted>2023-04-05T03:23:20Z</cp:lastPrinted>
  <dcterms:modified xsi:type="dcterms:W3CDTF">2023-04-06T01:22:18Z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A1AA382EC41E47B4B474595CEA31F851</vt:lpwstr>
  </property>
</Properties>
</file>